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60" w:rsidRDefault="00057960" w:rsidP="0040485C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  <w:r w:rsidRPr="008E26AA">
        <w:rPr>
          <w:rFonts w:ascii="Cambria" w:hAnsi="Cambria"/>
          <w:b/>
          <w:color w:val="C00000"/>
          <w:sz w:val="24"/>
          <w:szCs w:val="24"/>
        </w:rPr>
        <w:t>Faites l’inventaire de vos dettes</w:t>
      </w:r>
    </w:p>
    <w:p w:rsidR="0040485C" w:rsidRDefault="0040485C" w:rsidP="0040485C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</w:p>
    <w:p w:rsidR="0040485C" w:rsidRPr="008E26AA" w:rsidRDefault="0040485C" w:rsidP="0040485C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</w:p>
    <w:p w:rsidR="00057960" w:rsidRPr="0040485C" w:rsidRDefault="00057960" w:rsidP="00057960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/>
        <w:contextualSpacing w:val="0"/>
        <w:rPr>
          <w:rFonts w:ascii="Cambria" w:hAnsi="Cambria"/>
          <w:b/>
          <w:color w:val="C00000"/>
        </w:rPr>
      </w:pPr>
      <w:r w:rsidRPr="0040485C">
        <w:rPr>
          <w:rFonts w:ascii="Cambria" w:hAnsi="Cambria"/>
          <w:b/>
          <w:color w:val="C00000"/>
        </w:rPr>
        <w:t xml:space="preserve">1. Présentation </w:t>
      </w:r>
    </w:p>
    <w:p w:rsidR="00057960" w:rsidRPr="008E26AA" w:rsidRDefault="00057960" w:rsidP="00057960">
      <w:pPr>
        <w:tabs>
          <w:tab w:val="left" w:pos="2720"/>
        </w:tabs>
        <w:spacing w:before="120" w:after="12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8E26AA">
        <w:rPr>
          <w:rFonts w:ascii="Cambria" w:hAnsi="Cambria"/>
          <w:sz w:val="24"/>
          <w:szCs w:val="24"/>
        </w:rPr>
        <w:t xml:space="preserve">Le tableau intitulé </w:t>
      </w:r>
      <w:r w:rsidRPr="008E26AA">
        <w:rPr>
          <w:rFonts w:ascii="Cambria" w:hAnsi="Cambria"/>
          <w:i/>
          <w:sz w:val="24"/>
          <w:szCs w:val="24"/>
        </w:rPr>
        <w:t>État des dettes (T4)</w:t>
      </w:r>
      <w:r w:rsidRPr="008E26AA">
        <w:rPr>
          <w:rFonts w:ascii="Cambria" w:hAnsi="Cambria"/>
          <w:sz w:val="24"/>
          <w:szCs w:val="24"/>
        </w:rPr>
        <w:t xml:space="preserve"> n’est pas toujours agréable à tenir ni à consulter. Si nous sommes lourdement endettés, il nous rappelle en effet des réalités redoutables que nous avons tendance à cacher :</w:t>
      </w:r>
    </w:p>
    <w:p w:rsidR="00057960" w:rsidRPr="008E26AA" w:rsidRDefault="00057960" w:rsidP="00162FEF">
      <w:pPr>
        <w:pStyle w:val="Paragraphedeliste"/>
        <w:numPr>
          <w:ilvl w:val="0"/>
          <w:numId w:val="3"/>
        </w:numPr>
        <w:tabs>
          <w:tab w:val="left" w:pos="272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Si notre budget est durablement déficitaire, ou si nous faisons des dépenses d’investissement que nous ne pouvons pas financer par notre épargne, nous sommes obligés de faire appel au crédit ; </w:t>
      </w:r>
    </w:p>
    <w:p w:rsidR="00057960" w:rsidRPr="008E26AA" w:rsidRDefault="00057960" w:rsidP="00162FEF">
      <w:pPr>
        <w:pStyle w:val="Paragraphedeliste"/>
        <w:numPr>
          <w:ilvl w:val="0"/>
          <w:numId w:val="3"/>
        </w:numPr>
        <w:tabs>
          <w:tab w:val="left" w:pos="272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Si nous obtenons des crédits de la part d’une banque, de notre famille ou de nos fournisseurs (commerçants, propriétaire-bailleur, etc.), nous devrons les rembourser ; </w:t>
      </w:r>
    </w:p>
    <w:p w:rsidR="00057960" w:rsidRPr="008E26AA" w:rsidRDefault="00057960" w:rsidP="00162FEF">
      <w:pPr>
        <w:pStyle w:val="Paragraphedeliste"/>
        <w:numPr>
          <w:ilvl w:val="0"/>
          <w:numId w:val="3"/>
        </w:numPr>
        <w:tabs>
          <w:tab w:val="left" w:pos="272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Si nous cumulons trop de dettes, ou si nos ressources courantes viennent à diminuer sérieusement, nous risquons de devenir incapables de les rembourser </w:t>
      </w:r>
      <w:r w:rsidR="00A96550">
        <w:rPr>
          <w:rFonts w:ascii="Cambria" w:hAnsi="Cambria"/>
        </w:rPr>
        <w:t xml:space="preserve">(cela s’appelle être surendetté) </w:t>
      </w:r>
      <w:r w:rsidRPr="008E26AA">
        <w:rPr>
          <w:rFonts w:ascii="Cambria" w:hAnsi="Cambria"/>
        </w:rPr>
        <w:t xml:space="preserve">et d’être poursuivis par nos créanciers. </w:t>
      </w:r>
    </w:p>
    <w:p w:rsidR="00057960" w:rsidRPr="008E26AA" w:rsidRDefault="00A96550" w:rsidP="00057960">
      <w:pPr>
        <w:tabs>
          <w:tab w:val="left" w:pos="2720"/>
        </w:tabs>
        <w:spacing w:before="120" w:after="120" w:line="240" w:lineRule="auto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057960" w:rsidRPr="008E26AA">
        <w:rPr>
          <w:rFonts w:ascii="Cambria" w:hAnsi="Cambria"/>
          <w:sz w:val="24"/>
          <w:szCs w:val="24"/>
        </w:rPr>
        <w:t xml:space="preserve">ous avons </w:t>
      </w:r>
      <w:r>
        <w:rPr>
          <w:rFonts w:ascii="Cambria" w:hAnsi="Cambria"/>
          <w:sz w:val="24"/>
          <w:szCs w:val="24"/>
        </w:rPr>
        <w:t xml:space="preserve">donc </w:t>
      </w:r>
      <w:r w:rsidR="00057960" w:rsidRPr="008E26AA">
        <w:rPr>
          <w:rFonts w:ascii="Cambria" w:hAnsi="Cambria"/>
          <w:sz w:val="24"/>
          <w:szCs w:val="24"/>
        </w:rPr>
        <w:t xml:space="preserve">grand intérêt à avoir une connaissance complète de l’état de nos dettes. </w:t>
      </w:r>
    </w:p>
    <w:p w:rsidR="00057960" w:rsidRPr="008E26AA" w:rsidRDefault="00057960" w:rsidP="00057960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/>
        <w:contextualSpacing w:val="0"/>
        <w:rPr>
          <w:rFonts w:ascii="Cambria" w:hAnsi="Cambria"/>
        </w:rPr>
      </w:pPr>
      <w:r w:rsidRPr="008E26AA">
        <w:rPr>
          <w:rFonts w:ascii="Cambria" w:hAnsi="Cambria"/>
          <w:noProof/>
        </w:rPr>
        <w:lastRenderedPageBreak/>
        <w:drawing>
          <wp:inline distT="0" distB="0" distL="0" distR="0" wp14:anchorId="4FB02352" wp14:editId="3347E246">
            <wp:extent cx="5469255" cy="5351363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226" cy="5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5C" w:rsidRDefault="0040485C" w:rsidP="00057960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/>
        <w:contextualSpacing w:val="0"/>
        <w:rPr>
          <w:rFonts w:ascii="Cambria" w:hAnsi="Cambria"/>
          <w:b/>
          <w:color w:val="C00000"/>
        </w:rPr>
      </w:pPr>
    </w:p>
    <w:p w:rsidR="00057960" w:rsidRPr="0040485C" w:rsidRDefault="00057960" w:rsidP="00057960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/>
        <w:contextualSpacing w:val="0"/>
        <w:rPr>
          <w:rFonts w:ascii="Cambria" w:hAnsi="Cambria"/>
          <w:b/>
          <w:color w:val="C00000"/>
        </w:rPr>
      </w:pPr>
      <w:r w:rsidRPr="0040485C">
        <w:rPr>
          <w:rFonts w:ascii="Cambria" w:hAnsi="Cambria"/>
          <w:b/>
          <w:color w:val="C00000"/>
        </w:rPr>
        <w:t xml:space="preserve">2. Comment remplir ce tableau T4 d’état de vos dettes ? </w:t>
      </w:r>
    </w:p>
    <w:p w:rsidR="00057960" w:rsidRPr="008E26AA" w:rsidRDefault="00057960" w:rsidP="00162FEF">
      <w:pPr>
        <w:pStyle w:val="Paragraphedeliste"/>
        <w:numPr>
          <w:ilvl w:val="0"/>
          <w:numId w:val="4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Faites-y figurer tous les crédits bancaires que vous avez contractés (prêts immobiliers, à la consommation – crédits renouvelables et prêts personnels amortissables – le solde débiteur du compte courant)</w:t>
      </w:r>
    </w:p>
    <w:p w:rsidR="00057960" w:rsidRPr="008E26AA" w:rsidRDefault="00057960" w:rsidP="00162FEF">
      <w:pPr>
        <w:pStyle w:val="Paragraphedeliste"/>
        <w:numPr>
          <w:ilvl w:val="3"/>
          <w:numId w:val="4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Notez également toutes les autres dettes, y compris éventuellement auprès de vos proches :</w:t>
      </w:r>
    </w:p>
    <w:p w:rsidR="00057960" w:rsidRPr="008E26AA" w:rsidRDefault="00057960" w:rsidP="00162FEF">
      <w:pPr>
        <w:pStyle w:val="Paragraphedeliste"/>
        <w:numPr>
          <w:ilvl w:val="2"/>
          <w:numId w:val="6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Prêts familiaux, prêts employeur, CAF, etc.</w:t>
      </w:r>
    </w:p>
    <w:p w:rsidR="00057960" w:rsidRPr="008E26AA" w:rsidRDefault="00057960" w:rsidP="00162FEF">
      <w:pPr>
        <w:pStyle w:val="Paragraphedeliste"/>
        <w:numPr>
          <w:ilvl w:val="2"/>
          <w:numId w:val="6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Dettes de logement (loyers et charges en retard, électricité, gaz) ;</w:t>
      </w:r>
    </w:p>
    <w:p w:rsidR="00057960" w:rsidRPr="008E26AA" w:rsidRDefault="00057960" w:rsidP="00162FEF">
      <w:pPr>
        <w:pStyle w:val="Paragraphedeliste"/>
        <w:numPr>
          <w:ilvl w:val="2"/>
          <w:numId w:val="6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Dettes sociales, de pension alimentaire, d’amendes, d’assurances, factures diverses et chèques impayés ;</w:t>
      </w:r>
    </w:p>
    <w:p w:rsidR="00057960" w:rsidRPr="008E26AA" w:rsidRDefault="00057960" w:rsidP="00162FEF">
      <w:pPr>
        <w:pStyle w:val="Paragraphedeliste"/>
        <w:numPr>
          <w:ilvl w:val="2"/>
          <w:numId w:val="6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Les prêts que vous avez cautionnés, si la personne emprunteuse est dans l’incapacité de les rembourser et si son créancier vous a demandé de le faire à sa place.</w:t>
      </w:r>
    </w:p>
    <w:p w:rsidR="00057960" w:rsidRPr="008E26AA" w:rsidRDefault="00057960" w:rsidP="00162FEF">
      <w:pPr>
        <w:pStyle w:val="Paragraphedeliste"/>
        <w:numPr>
          <w:ilvl w:val="0"/>
          <w:numId w:val="4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Faites apparaitre en synthèse :</w:t>
      </w:r>
    </w:p>
    <w:p w:rsidR="00057960" w:rsidRPr="008E26AA" w:rsidRDefault="00057960" w:rsidP="00162FEF">
      <w:pPr>
        <w:pStyle w:val="Paragraphedeliste"/>
        <w:numPr>
          <w:ilvl w:val="1"/>
          <w:numId w:val="4"/>
        </w:numPr>
        <w:tabs>
          <w:tab w:val="clear" w:pos="4536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lastRenderedPageBreak/>
        <w:t xml:space="preserve">Le montant total du capital restant dû ; </w:t>
      </w:r>
    </w:p>
    <w:p w:rsidR="00057960" w:rsidRPr="00057960" w:rsidRDefault="00057960" w:rsidP="00162FEF">
      <w:pPr>
        <w:pStyle w:val="Paragraphedeliste"/>
        <w:numPr>
          <w:ilvl w:val="1"/>
          <w:numId w:val="4"/>
        </w:numPr>
        <w:tabs>
          <w:tab w:val="clear" w:pos="4536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Le montant total qui doit être remboursé chaque mois.</w:t>
      </w:r>
    </w:p>
    <w:p w:rsidR="00057960" w:rsidRPr="008E26AA" w:rsidRDefault="00057960" w:rsidP="00162FEF">
      <w:pPr>
        <w:pStyle w:val="Paragraphedeliste"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Si des informations importantes vous manquent, menez une enquête pour tenter de trouver la réponse. C’est le cas, par exemple : </w:t>
      </w:r>
    </w:p>
    <w:p w:rsidR="00057960" w:rsidRPr="008E26AA" w:rsidRDefault="00057960" w:rsidP="00162FEF">
      <w:pPr>
        <w:pStyle w:val="Paragraphedeliste"/>
        <w:numPr>
          <w:ilvl w:val="1"/>
          <w:numId w:val="5"/>
        </w:numPr>
        <w:tabs>
          <w:tab w:val="left" w:pos="0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Lorsque deux personnes qui vivent ou ont vécu ensemble ne savent pas exactement (ou </w:t>
      </w:r>
      <w:r>
        <w:rPr>
          <w:rFonts w:ascii="Cambria" w:hAnsi="Cambria"/>
        </w:rPr>
        <w:t>se s</w:t>
      </w:r>
      <w:r w:rsidRPr="008E26AA">
        <w:rPr>
          <w:rFonts w:ascii="Cambria" w:hAnsi="Cambria"/>
        </w:rPr>
        <w:t>ont volontairement caché) si les prêts qu’elles ont contractés durant leur période de vie commune les engagent ou non conjointement : la situation financière de chacun peut s’en trouver sérieusement affectée !</w:t>
      </w:r>
    </w:p>
    <w:p w:rsidR="00057960" w:rsidRPr="008E26AA" w:rsidRDefault="00057960" w:rsidP="00162FEF">
      <w:pPr>
        <w:pStyle w:val="Paragraphedeliste"/>
        <w:numPr>
          <w:ilvl w:val="1"/>
          <w:numId w:val="5"/>
        </w:numPr>
        <w:tabs>
          <w:tab w:val="left" w:pos="0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Lorsque vous ignorez si</w:t>
      </w:r>
      <w:r w:rsidRPr="008E26AA">
        <w:rPr>
          <w:rFonts w:ascii="Cambria" w:hAnsi="Cambria"/>
        </w:rPr>
        <w:t xml:space="preserve"> telle somme d’argent que vous avez reçue d’un proche est un don ou un prêt : cela peut arriver notamment à l’intérieur de votre famille. Il est (presque) toujours utile de faire la clarté dans ce type de transaction, et le plus tôt est en général le mieux. </w:t>
      </w:r>
    </w:p>
    <w:p w:rsidR="00057960" w:rsidRPr="008E26AA" w:rsidRDefault="00057960" w:rsidP="00057960">
      <w:pPr>
        <w:tabs>
          <w:tab w:val="left" w:pos="0"/>
        </w:tabs>
        <w:spacing w:before="120" w:after="120" w:line="240" w:lineRule="auto"/>
        <w:ind w:left="141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8E26AA">
        <w:rPr>
          <w:rFonts w:ascii="Cambria" w:hAnsi="Cambria"/>
          <w:sz w:val="24"/>
          <w:szCs w:val="24"/>
        </w:rPr>
        <w:t xml:space="preserve">es deux </w:t>
      </w:r>
      <w:r>
        <w:rPr>
          <w:rFonts w:ascii="Cambria" w:hAnsi="Cambria"/>
          <w:sz w:val="24"/>
          <w:szCs w:val="24"/>
        </w:rPr>
        <w:t>situations ci-dessus peuvent être cause</w:t>
      </w:r>
      <w:r w:rsidRPr="008E26AA">
        <w:rPr>
          <w:rFonts w:ascii="Cambria" w:hAnsi="Cambria"/>
          <w:sz w:val="24"/>
          <w:szCs w:val="24"/>
        </w:rPr>
        <w:t xml:space="preserve"> de difficultés </w:t>
      </w:r>
      <w:r>
        <w:rPr>
          <w:rFonts w:ascii="Cambria" w:hAnsi="Cambria"/>
          <w:sz w:val="24"/>
          <w:szCs w:val="24"/>
        </w:rPr>
        <w:t xml:space="preserve">ultérieures </w:t>
      </w:r>
      <w:r w:rsidRPr="008E26AA">
        <w:rPr>
          <w:rFonts w:ascii="Cambria" w:hAnsi="Cambria"/>
          <w:sz w:val="24"/>
          <w:szCs w:val="24"/>
        </w:rPr>
        <w:t>potentiellement graves…</w:t>
      </w:r>
    </w:p>
    <w:p w:rsidR="00057960" w:rsidRPr="008E26AA" w:rsidRDefault="00057960" w:rsidP="00162FEF">
      <w:pPr>
        <w:pStyle w:val="Paragraphedeliste"/>
        <w:numPr>
          <w:ilvl w:val="0"/>
          <w:numId w:val="5"/>
        </w:numPr>
        <w:tabs>
          <w:tab w:val="left" w:pos="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Si vous n’avez pas trouvé une réponse certaine à vos questions, indiquez celle qui vous semble la plus vraisemblable, en l’affectant d’un point d’interrogation : il vaut mieux donner une information approximative voire incertaine que de ne rien indiquer. </w:t>
      </w:r>
    </w:p>
    <w:p w:rsidR="00057960" w:rsidRPr="008E26AA" w:rsidRDefault="00057960" w:rsidP="00057960">
      <w:pPr>
        <w:pStyle w:val="Paragraphedeliste"/>
        <w:numPr>
          <w:ilvl w:val="0"/>
          <w:numId w:val="0"/>
        </w:numPr>
        <w:tabs>
          <w:tab w:val="left" w:pos="0"/>
        </w:tabs>
        <w:spacing w:before="120" w:after="120" w:line="240" w:lineRule="auto"/>
        <w:ind w:left="1418"/>
        <w:contextualSpacing w:val="0"/>
        <w:rPr>
          <w:rFonts w:ascii="Cambria" w:hAnsi="Cambria"/>
        </w:rPr>
      </w:pPr>
    </w:p>
    <w:p w:rsidR="00057960" w:rsidRPr="0040485C" w:rsidRDefault="00057960" w:rsidP="00057960">
      <w:pPr>
        <w:tabs>
          <w:tab w:val="left" w:pos="0"/>
        </w:tabs>
        <w:spacing w:before="120" w:after="120" w:line="240" w:lineRule="auto"/>
        <w:ind w:left="567"/>
        <w:jc w:val="both"/>
        <w:rPr>
          <w:rFonts w:ascii="Cambria" w:hAnsi="Cambria"/>
          <w:b/>
          <w:color w:val="C00000"/>
          <w:sz w:val="24"/>
          <w:szCs w:val="24"/>
        </w:rPr>
      </w:pPr>
      <w:r w:rsidRPr="0040485C">
        <w:rPr>
          <w:rFonts w:ascii="Cambria" w:hAnsi="Cambria"/>
          <w:b/>
          <w:color w:val="C00000"/>
          <w:sz w:val="24"/>
          <w:szCs w:val="24"/>
        </w:rPr>
        <w:t xml:space="preserve">3. Quelles informations utiles vous fournit cet état des dettes ? </w:t>
      </w:r>
    </w:p>
    <w:p w:rsidR="00057960" w:rsidRPr="008E26AA" w:rsidRDefault="00057960" w:rsidP="00057960">
      <w:pPr>
        <w:tabs>
          <w:tab w:val="left" w:pos="0"/>
        </w:tabs>
        <w:spacing w:before="120" w:after="12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8E26AA">
        <w:rPr>
          <w:rFonts w:ascii="Cambria" w:hAnsi="Cambria"/>
          <w:sz w:val="24"/>
          <w:szCs w:val="24"/>
        </w:rPr>
        <w:t xml:space="preserve">Par ordre décroissant d’importance, </w:t>
      </w:r>
      <w:r>
        <w:rPr>
          <w:rFonts w:ascii="Cambria" w:hAnsi="Cambria"/>
          <w:sz w:val="24"/>
          <w:szCs w:val="24"/>
        </w:rPr>
        <w:t xml:space="preserve">ces informations </w:t>
      </w:r>
      <w:r w:rsidRPr="008E26AA">
        <w:rPr>
          <w:rFonts w:ascii="Cambria" w:hAnsi="Cambria"/>
          <w:sz w:val="24"/>
          <w:szCs w:val="24"/>
        </w:rPr>
        <w:t>vous permette</w:t>
      </w:r>
      <w:r>
        <w:rPr>
          <w:rFonts w:ascii="Cambria" w:hAnsi="Cambria"/>
          <w:sz w:val="24"/>
          <w:szCs w:val="24"/>
        </w:rPr>
        <w:t>nt</w:t>
      </w:r>
      <w:r w:rsidRPr="008E26AA">
        <w:rPr>
          <w:rFonts w:ascii="Cambria" w:hAnsi="Cambria"/>
          <w:sz w:val="24"/>
          <w:szCs w:val="24"/>
        </w:rPr>
        <w:t xml:space="preserve"> de :</w:t>
      </w:r>
    </w:p>
    <w:p w:rsidR="00057960" w:rsidRPr="008E26AA" w:rsidRDefault="00057960" w:rsidP="00162FEF">
      <w:pPr>
        <w:pStyle w:val="Paragraphedeliste"/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Connaître l’ensemble de vos dettes, alors que bon nombre de personnes ont tendance à se cacher la gravité de leur situation d’endettement ;</w:t>
      </w:r>
    </w:p>
    <w:p w:rsidR="00057960" w:rsidRPr="008E26AA" w:rsidRDefault="00057960" w:rsidP="00162FEF">
      <w:pPr>
        <w:pStyle w:val="Paragraphedeliste"/>
        <w:numPr>
          <w:ilvl w:val="0"/>
          <w:numId w:val="7"/>
        </w:numPr>
        <w:tabs>
          <w:tab w:val="left" w:pos="272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Surveiller l’évolution de votre endettement </w:t>
      </w:r>
      <w:r w:rsidR="00A96550">
        <w:rPr>
          <w:rFonts w:ascii="Cambria" w:hAnsi="Cambria"/>
        </w:rPr>
        <w:t xml:space="preserve">dans le temps </w:t>
      </w:r>
      <w:r w:rsidRPr="008E26AA">
        <w:rPr>
          <w:rFonts w:ascii="Cambria" w:hAnsi="Cambria"/>
        </w:rPr>
        <w:t>: s’il s’aggrave, vous avez intérêt à en prendre conscience et à redresser la barre rapidement pour éviter de vous enfoncer dans le surendettement ;</w:t>
      </w:r>
    </w:p>
    <w:p w:rsidR="00057960" w:rsidRPr="008E26AA" w:rsidRDefault="00057960" w:rsidP="00162FEF">
      <w:pPr>
        <w:pStyle w:val="Paragraphedeliste"/>
        <w:numPr>
          <w:ilvl w:val="0"/>
          <w:numId w:val="2"/>
        </w:numPr>
        <w:tabs>
          <w:tab w:val="left" w:pos="272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>Vérifier votre situation au regard du surendettement</w:t>
      </w:r>
      <w:r w:rsidRPr="008E26AA">
        <w:rPr>
          <w:rStyle w:val="Appelnotedebasdep"/>
          <w:rFonts w:ascii="Cambria" w:hAnsi="Cambria"/>
        </w:rPr>
        <w:footnoteReference w:id="1"/>
      </w:r>
      <w:r w:rsidRPr="008E26AA">
        <w:rPr>
          <w:rFonts w:ascii="Cambria" w:hAnsi="Cambria"/>
        </w:rPr>
        <w:t> ;</w:t>
      </w:r>
    </w:p>
    <w:p w:rsidR="00057960" w:rsidRPr="008E26AA" w:rsidRDefault="00057960" w:rsidP="00162FEF">
      <w:pPr>
        <w:pStyle w:val="Paragraphedeliste"/>
        <w:numPr>
          <w:ilvl w:val="0"/>
          <w:numId w:val="2"/>
        </w:numPr>
        <w:tabs>
          <w:tab w:val="left" w:pos="2720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Vous défendre plus efficacement contre les sociétés de recouvrement si </w:t>
      </w:r>
      <w:r>
        <w:rPr>
          <w:rFonts w:ascii="Cambria" w:hAnsi="Cambria"/>
        </w:rPr>
        <w:t>c</w:t>
      </w:r>
      <w:r w:rsidRPr="008E26AA">
        <w:rPr>
          <w:rFonts w:ascii="Cambria" w:hAnsi="Cambria"/>
        </w:rPr>
        <w:t>elles</w:t>
      </w:r>
      <w:r>
        <w:rPr>
          <w:rFonts w:ascii="Cambria" w:hAnsi="Cambria"/>
        </w:rPr>
        <w:t>-ci</w:t>
      </w:r>
      <w:r w:rsidRPr="008E26AA">
        <w:rPr>
          <w:rFonts w:ascii="Cambria" w:hAnsi="Cambria"/>
        </w:rPr>
        <w:t xml:space="preserve"> vous assaillaient un jour</w:t>
      </w:r>
      <w:r w:rsidRPr="008E26AA">
        <w:rPr>
          <w:rStyle w:val="Appelnotedebasdep"/>
          <w:rFonts w:ascii="Cambria" w:hAnsi="Cambria"/>
        </w:rPr>
        <w:footnoteReference w:id="2"/>
      </w:r>
      <w:r w:rsidRPr="008E26AA">
        <w:rPr>
          <w:rFonts w:ascii="Cambria" w:hAnsi="Cambria"/>
        </w:rPr>
        <w:t>, car vous détiendriez alors les informations essentielles sur vos crédits en cours</w:t>
      </w:r>
      <w:r>
        <w:rPr>
          <w:rFonts w:ascii="Cambria" w:hAnsi="Cambria"/>
        </w:rPr>
        <w:t>.</w:t>
      </w:r>
    </w:p>
    <w:p w:rsidR="00AB0691" w:rsidRPr="00057960" w:rsidRDefault="00AB0691" w:rsidP="00057960"/>
    <w:sectPr w:rsidR="00AB0691" w:rsidRPr="00057960" w:rsidSect="001A156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96" w:rsidRDefault="00F34C96" w:rsidP="00F92CAB">
      <w:pPr>
        <w:spacing w:after="0"/>
      </w:pPr>
      <w:r>
        <w:separator/>
      </w:r>
    </w:p>
  </w:endnote>
  <w:endnote w:type="continuationSeparator" w:id="0">
    <w:p w:rsidR="00F34C96" w:rsidRDefault="00F34C96" w:rsidP="00F92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902393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0485C" w:rsidRDefault="0040485C" w:rsidP="00562DA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0485C" w:rsidRDefault="004048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199954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0485C" w:rsidRDefault="0040485C" w:rsidP="00562DA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0485C" w:rsidRDefault="004048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96" w:rsidRDefault="00F34C96" w:rsidP="00F92CAB">
      <w:pPr>
        <w:spacing w:after="0"/>
      </w:pPr>
      <w:r>
        <w:separator/>
      </w:r>
    </w:p>
  </w:footnote>
  <w:footnote w:type="continuationSeparator" w:id="0">
    <w:p w:rsidR="00F34C96" w:rsidRDefault="00F34C96" w:rsidP="00F92CAB">
      <w:pPr>
        <w:spacing w:after="0"/>
      </w:pPr>
      <w:r>
        <w:continuationSeparator/>
      </w:r>
    </w:p>
  </w:footnote>
  <w:footnote w:id="1">
    <w:p w:rsidR="00057960" w:rsidRPr="0040485C" w:rsidRDefault="00057960" w:rsidP="00057960">
      <w:pPr>
        <w:pStyle w:val="Notedebasdepage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0485C">
        <w:rPr>
          <w:rStyle w:val="Appelnotedebasdep"/>
          <w:rFonts w:ascii="Cambria" w:hAnsi="Cambria"/>
          <w:sz w:val="20"/>
          <w:szCs w:val="20"/>
        </w:rPr>
        <w:footnoteRef/>
      </w:r>
      <w:r w:rsidRPr="0040485C">
        <w:rPr>
          <w:rFonts w:ascii="Cambria" w:hAnsi="Cambria"/>
          <w:sz w:val="20"/>
          <w:szCs w:val="20"/>
        </w:rPr>
        <w:t xml:space="preserve"> Une personne est surendettée de fait dès lors qu’elle n’est plus en mesure de rembourser </w:t>
      </w:r>
      <w:r w:rsidRPr="0040485C">
        <w:rPr>
          <w:rFonts w:ascii="Cambria" w:hAnsi="Cambria"/>
          <w:i/>
          <w:sz w:val="20"/>
          <w:szCs w:val="20"/>
        </w:rPr>
        <w:t>l’ensemble</w:t>
      </w:r>
      <w:r w:rsidRPr="0040485C">
        <w:rPr>
          <w:rFonts w:ascii="Cambria" w:hAnsi="Cambria"/>
          <w:sz w:val="20"/>
          <w:szCs w:val="20"/>
        </w:rPr>
        <w:t xml:space="preserve"> de ses crédits en cours avec ses</w:t>
      </w:r>
      <w:r w:rsidRPr="0040485C">
        <w:rPr>
          <w:rFonts w:ascii="Cambria" w:hAnsi="Cambria"/>
          <w:i/>
          <w:sz w:val="20"/>
          <w:szCs w:val="20"/>
        </w:rPr>
        <w:t xml:space="preserve"> ressources régulières</w:t>
      </w:r>
      <w:r w:rsidRPr="0040485C">
        <w:rPr>
          <w:rFonts w:ascii="Cambria" w:hAnsi="Cambria"/>
          <w:sz w:val="20"/>
          <w:szCs w:val="20"/>
        </w:rPr>
        <w:t xml:space="preserve">. Elle a alors intérêt à rencontrer un travailleur social ou une association spécialisée telle que Crésus en vue de déposer un dossier de surendettement (et non de chercher à faire un « rachat de crédit » qui tend généralement à aggraver encore sa situation). Elle peut également consulter le site de la Banque de France sur le surendettement </w:t>
      </w:r>
      <w:hyperlink r:id="rId1" w:history="1">
        <w:r w:rsidRPr="0040485C">
          <w:rPr>
            <w:rStyle w:val="Lienhypertexte"/>
            <w:rFonts w:ascii="Cambria" w:hAnsi="Cambria"/>
            <w:sz w:val="20"/>
            <w:szCs w:val="20"/>
          </w:rPr>
          <w:t>https://particuliers.banque-france.fr/surendettement/comprendre-le-surendettement</w:t>
        </w:r>
      </w:hyperlink>
      <w:r w:rsidRPr="0040485C">
        <w:rPr>
          <w:rFonts w:ascii="Cambria" w:hAnsi="Cambria"/>
          <w:sz w:val="20"/>
          <w:szCs w:val="20"/>
        </w:rPr>
        <w:t>.</w:t>
      </w:r>
    </w:p>
  </w:footnote>
  <w:footnote w:id="2">
    <w:p w:rsidR="00057960" w:rsidRPr="0040485C" w:rsidRDefault="00057960" w:rsidP="00057960">
      <w:pPr>
        <w:pStyle w:val="Notedebasdepage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0485C">
        <w:rPr>
          <w:rStyle w:val="Appelnotedebasdep"/>
          <w:rFonts w:ascii="Cambria" w:hAnsi="Cambria"/>
          <w:sz w:val="20"/>
          <w:szCs w:val="20"/>
        </w:rPr>
        <w:footnoteRef/>
      </w:r>
      <w:r w:rsidRPr="0040485C">
        <w:rPr>
          <w:rFonts w:ascii="Cambria" w:hAnsi="Cambria"/>
          <w:sz w:val="20"/>
          <w:szCs w:val="20"/>
        </w:rPr>
        <w:t xml:space="preserve"> Beaucoup de leurs « </w:t>
      </w:r>
      <w:r w:rsidR="00A96550">
        <w:rPr>
          <w:rFonts w:ascii="Cambria" w:hAnsi="Cambria"/>
          <w:sz w:val="20"/>
          <w:szCs w:val="20"/>
        </w:rPr>
        <w:t>victime</w:t>
      </w:r>
      <w:bookmarkStart w:id="0" w:name="_GoBack"/>
      <w:bookmarkEnd w:id="0"/>
      <w:r w:rsidRPr="0040485C">
        <w:rPr>
          <w:rFonts w:ascii="Cambria" w:hAnsi="Cambria"/>
          <w:sz w:val="20"/>
          <w:szCs w:val="20"/>
        </w:rPr>
        <w:t>s » involontaires se plaignent de leurs erreurs et de leurs méthodes brutales et parfois abusives 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EE9"/>
    <w:multiLevelType w:val="hybridMultilevel"/>
    <w:tmpl w:val="F906F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1C08980">
      <w:start w:val="1"/>
      <w:numFmt w:val="bullet"/>
      <w:pStyle w:val="Paragraphedelist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319"/>
    <w:multiLevelType w:val="hybridMultilevel"/>
    <w:tmpl w:val="6DE8FCC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5102F4"/>
    <w:multiLevelType w:val="hybridMultilevel"/>
    <w:tmpl w:val="037ADA3A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DC73996"/>
    <w:multiLevelType w:val="hybridMultilevel"/>
    <w:tmpl w:val="F2FAF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641C5E"/>
    <w:multiLevelType w:val="hybridMultilevel"/>
    <w:tmpl w:val="DAA4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871FC"/>
    <w:multiLevelType w:val="hybridMultilevel"/>
    <w:tmpl w:val="2EF495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FB7EF9"/>
    <w:multiLevelType w:val="hybridMultilevel"/>
    <w:tmpl w:val="FAB6D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B"/>
    <w:rsid w:val="00057960"/>
    <w:rsid w:val="000C1822"/>
    <w:rsid w:val="000D57E3"/>
    <w:rsid w:val="000E2CAB"/>
    <w:rsid w:val="00147A35"/>
    <w:rsid w:val="00162FEF"/>
    <w:rsid w:val="00171113"/>
    <w:rsid w:val="001A1566"/>
    <w:rsid w:val="001C0618"/>
    <w:rsid w:val="002B1D6A"/>
    <w:rsid w:val="002F6561"/>
    <w:rsid w:val="00312067"/>
    <w:rsid w:val="0031624B"/>
    <w:rsid w:val="003734E5"/>
    <w:rsid w:val="003945AE"/>
    <w:rsid w:val="003D611B"/>
    <w:rsid w:val="0040485C"/>
    <w:rsid w:val="0044312C"/>
    <w:rsid w:val="004C5A1E"/>
    <w:rsid w:val="00522216"/>
    <w:rsid w:val="00546985"/>
    <w:rsid w:val="005B0935"/>
    <w:rsid w:val="00600CE5"/>
    <w:rsid w:val="006E16F5"/>
    <w:rsid w:val="00783B30"/>
    <w:rsid w:val="00791E66"/>
    <w:rsid w:val="007E3EBF"/>
    <w:rsid w:val="008B3633"/>
    <w:rsid w:val="00987E2B"/>
    <w:rsid w:val="009A0A6B"/>
    <w:rsid w:val="009A55E7"/>
    <w:rsid w:val="009D375E"/>
    <w:rsid w:val="009F4699"/>
    <w:rsid w:val="00A156E6"/>
    <w:rsid w:val="00A24C75"/>
    <w:rsid w:val="00A432DD"/>
    <w:rsid w:val="00A52A0F"/>
    <w:rsid w:val="00A96550"/>
    <w:rsid w:val="00AB0691"/>
    <w:rsid w:val="00B34F4D"/>
    <w:rsid w:val="00B8773E"/>
    <w:rsid w:val="00BC4CD5"/>
    <w:rsid w:val="00D358FD"/>
    <w:rsid w:val="00D40975"/>
    <w:rsid w:val="00DF5466"/>
    <w:rsid w:val="00E17EA8"/>
    <w:rsid w:val="00E4085C"/>
    <w:rsid w:val="00F05B4C"/>
    <w:rsid w:val="00F17E7E"/>
    <w:rsid w:val="00F34C96"/>
    <w:rsid w:val="00F7188C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53E"/>
  <w15:chartTrackingRefBased/>
  <w15:docId w15:val="{41283B77-8DFF-D04E-B0D8-EA56793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>
      <w:pPr>
        <w:spacing w:before="120" w:after="120"/>
        <w:ind w:left="19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18"/>
    <w:pPr>
      <w:spacing w:before="0" w:after="200" w:line="276" w:lineRule="auto"/>
      <w:ind w:left="0" w:firstLine="0"/>
      <w:jc w:val="left"/>
    </w:pPr>
    <w:rPr>
      <w:rFonts w:ascii="Calibri" w:eastAsia="Times New Roman" w:hAnsi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92CAB"/>
  </w:style>
  <w:style w:type="character" w:customStyle="1" w:styleId="NotedebasdepageCar">
    <w:name w:val="Note de bas de page Car"/>
    <w:basedOn w:val="Policepardfaut"/>
    <w:link w:val="Notedebasdepage"/>
    <w:uiPriority w:val="99"/>
    <w:rsid w:val="00F92CAB"/>
    <w:rPr>
      <w:rFonts w:ascii="Calibri" w:eastAsia="Times New Roman" w:hAnsi="Calibri"/>
      <w:lang w:eastAsia="fr-FR"/>
    </w:rPr>
  </w:style>
  <w:style w:type="character" w:styleId="Appelnotedebasdep">
    <w:name w:val="footnote reference"/>
    <w:uiPriority w:val="99"/>
    <w:unhideWhenUsed/>
    <w:rsid w:val="00F92C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B3633"/>
    <w:pPr>
      <w:numPr>
        <w:ilvl w:val="4"/>
        <w:numId w:val="1"/>
      </w:numPr>
      <w:tabs>
        <w:tab w:val="center" w:pos="4536"/>
      </w:tabs>
      <w:ind w:left="1418" w:hanging="284"/>
      <w:contextualSpacing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3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633"/>
    <w:rPr>
      <w:rFonts w:ascii="Calibri" w:eastAsia="Times New Roman" w:hAnsi="Calibr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B34F4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04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85C"/>
    <w:rPr>
      <w:rFonts w:ascii="Calibri" w:eastAsia="Times New Roman" w:hAnsi="Calibri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0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rticuliers.banque-france.fr/surendettement/comprendre-le-surendett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jean.beaujouan02@gmail.com</dc:creator>
  <cp:keywords/>
  <dc:description/>
  <cp:lastModifiedBy>jean.beaujouan02@gmail.com</cp:lastModifiedBy>
  <cp:revision>16</cp:revision>
  <dcterms:created xsi:type="dcterms:W3CDTF">2022-04-27T12:19:00Z</dcterms:created>
  <dcterms:modified xsi:type="dcterms:W3CDTF">2022-11-03T15:34:00Z</dcterms:modified>
  <cp:category/>
</cp:coreProperties>
</file>